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E9" w:rsidRPr="00201D2F" w:rsidRDefault="008841E9">
      <w:pPr>
        <w:rPr>
          <w:rFonts w:ascii="Times New Roman" w:hAnsi="Times New Roman" w:cs="Times New Roman"/>
          <w:b/>
          <w:sz w:val="24"/>
          <w:szCs w:val="24"/>
        </w:rPr>
      </w:pPr>
      <w:r w:rsidRPr="00201D2F">
        <w:rPr>
          <w:rFonts w:ascii="Times New Roman" w:hAnsi="Times New Roman" w:cs="Times New Roman"/>
          <w:b/>
          <w:sz w:val="24"/>
          <w:szCs w:val="24"/>
        </w:rPr>
        <w:t xml:space="preserve">Result for </w:t>
      </w:r>
      <w:proofErr w:type="spellStart"/>
      <w:r w:rsidRPr="00201D2F">
        <w:rPr>
          <w:rFonts w:ascii="Times New Roman" w:hAnsi="Times New Roman" w:cs="Times New Roman"/>
          <w:b/>
          <w:sz w:val="24"/>
          <w:szCs w:val="24"/>
        </w:rPr>
        <w:t>glgC</w:t>
      </w:r>
      <w:proofErr w:type="spellEnd"/>
      <w:r w:rsidRPr="00201D2F">
        <w:rPr>
          <w:rFonts w:ascii="Times New Roman" w:hAnsi="Times New Roman" w:cs="Times New Roman"/>
          <w:b/>
          <w:sz w:val="24"/>
          <w:szCs w:val="24"/>
        </w:rPr>
        <w:t xml:space="preserve"> assay.</w:t>
      </w:r>
      <w:bookmarkStart w:id="0" w:name="_GoBack"/>
      <w:bookmarkEnd w:id="0"/>
    </w:p>
    <w:p w:rsidR="008841E9" w:rsidRPr="00D91880" w:rsidRDefault="008841E9" w:rsidP="00F9208C">
      <w:pPr>
        <w:rPr>
          <w:rFonts w:ascii="Times New Roman" w:hAnsi="Times New Roman" w:cs="Times New Roman"/>
          <w:sz w:val="24"/>
          <w:szCs w:val="24"/>
        </w:rPr>
      </w:pPr>
      <w:r w:rsidRPr="00D91880">
        <w:rPr>
          <w:rFonts w:ascii="Times New Roman" w:hAnsi="Times New Roman" w:cs="Times New Roman"/>
          <w:sz w:val="24"/>
          <w:szCs w:val="24"/>
        </w:rPr>
        <w:t>Glycogen concentration is measured by</w:t>
      </w:r>
      <w:r w:rsidR="00D91880">
        <w:rPr>
          <w:rFonts w:ascii="Times New Roman" w:hAnsi="Times New Roman" w:cs="Times New Roman"/>
          <w:sz w:val="24"/>
          <w:szCs w:val="24"/>
        </w:rPr>
        <w:t xml:space="preserve"> absorbance. Because the recommended wavelength by th</w:t>
      </w:r>
      <w:r w:rsidR="002B402B">
        <w:rPr>
          <w:rFonts w:ascii="Times New Roman" w:hAnsi="Times New Roman" w:cs="Times New Roman"/>
          <w:sz w:val="24"/>
          <w:szCs w:val="24"/>
        </w:rPr>
        <w:t xml:space="preserve">e </w:t>
      </w:r>
      <w:hyperlink r:id="rId4" w:history="1">
        <w:r w:rsidR="002B402B" w:rsidRPr="00971007">
          <w:rPr>
            <w:rStyle w:val="Hyperlink"/>
            <w:rFonts w:ascii="Times New Roman" w:hAnsi="Times New Roman" w:cs="Times New Roman"/>
            <w:sz w:val="24"/>
            <w:szCs w:val="24"/>
          </w:rPr>
          <w:t>assay kit manufacturer</w:t>
        </w:r>
      </w:hyperlink>
      <w:r w:rsidR="002B402B">
        <w:rPr>
          <w:rFonts w:ascii="Times New Roman" w:hAnsi="Times New Roman" w:cs="Times New Roman"/>
          <w:sz w:val="24"/>
          <w:szCs w:val="24"/>
        </w:rPr>
        <w:t xml:space="preserve"> is 570.</w:t>
      </w:r>
      <w:r w:rsidR="00D91880">
        <w:rPr>
          <w:rFonts w:ascii="Times New Roman" w:hAnsi="Times New Roman" w:cs="Times New Roman"/>
          <w:sz w:val="24"/>
          <w:szCs w:val="24"/>
        </w:rPr>
        <w:t xml:space="preserve"> </w:t>
      </w:r>
      <w:r w:rsidR="002B402B">
        <w:rPr>
          <w:rFonts w:ascii="Times New Roman" w:hAnsi="Times New Roman" w:cs="Times New Roman"/>
          <w:sz w:val="24"/>
          <w:szCs w:val="24"/>
        </w:rPr>
        <w:t xml:space="preserve">Based on wavelength/absorbance plot provided by the manufacturer, we determined that the out of the </w:t>
      </w:r>
      <w:r w:rsidR="00D91880">
        <w:rPr>
          <w:rFonts w:ascii="Times New Roman" w:hAnsi="Times New Roman" w:cs="Times New Roman"/>
          <w:sz w:val="24"/>
          <w:szCs w:val="24"/>
        </w:rPr>
        <w:t>wavelength filter</w:t>
      </w:r>
      <w:r w:rsidR="002B402B">
        <w:rPr>
          <w:rFonts w:ascii="Times New Roman" w:hAnsi="Times New Roman" w:cs="Times New Roman"/>
          <w:sz w:val="24"/>
          <w:szCs w:val="24"/>
        </w:rPr>
        <w:t>s that</w:t>
      </w:r>
      <w:r w:rsidR="00D91880">
        <w:rPr>
          <w:rFonts w:ascii="Times New Roman" w:hAnsi="Times New Roman" w:cs="Times New Roman"/>
          <w:sz w:val="24"/>
          <w:szCs w:val="24"/>
        </w:rPr>
        <w:t xml:space="preserve"> we have</w:t>
      </w:r>
      <w:r w:rsidR="002B402B">
        <w:rPr>
          <w:rFonts w:ascii="Times New Roman" w:hAnsi="Times New Roman" w:cs="Times New Roman"/>
          <w:sz w:val="24"/>
          <w:szCs w:val="24"/>
        </w:rPr>
        <w:t>, the</w:t>
      </w:r>
      <w:r w:rsidR="00D91880">
        <w:rPr>
          <w:rFonts w:ascii="Times New Roman" w:hAnsi="Times New Roman" w:cs="Times New Roman"/>
          <w:sz w:val="24"/>
          <w:szCs w:val="24"/>
        </w:rPr>
        <w:t xml:space="preserve"> </w:t>
      </w:r>
      <w:r w:rsidR="002B402B">
        <w:rPr>
          <w:rFonts w:ascii="Times New Roman" w:hAnsi="Times New Roman" w:cs="Times New Roman"/>
          <w:sz w:val="24"/>
          <w:szCs w:val="24"/>
        </w:rPr>
        <w:t>540</w:t>
      </w:r>
      <w:r w:rsidR="00D91880">
        <w:rPr>
          <w:rFonts w:ascii="Times New Roman" w:hAnsi="Times New Roman" w:cs="Times New Roman"/>
          <w:sz w:val="24"/>
          <w:szCs w:val="24"/>
        </w:rPr>
        <w:t xml:space="preserve"> nm</w:t>
      </w:r>
      <w:r w:rsidR="002B402B">
        <w:rPr>
          <w:rFonts w:ascii="Times New Roman" w:hAnsi="Times New Roman" w:cs="Times New Roman"/>
          <w:sz w:val="24"/>
          <w:szCs w:val="24"/>
        </w:rPr>
        <w:t xml:space="preserve"> is most ideal.</w:t>
      </w:r>
      <w:r w:rsidR="00D91880">
        <w:rPr>
          <w:rFonts w:ascii="Times New Roman" w:hAnsi="Times New Roman" w:cs="Times New Roman"/>
          <w:sz w:val="24"/>
          <w:szCs w:val="24"/>
        </w:rPr>
        <w:t xml:space="preserve"> </w:t>
      </w:r>
      <w:r w:rsidR="002B402B">
        <w:rPr>
          <w:rFonts w:ascii="Times New Roman" w:hAnsi="Times New Roman" w:cs="Times New Roman"/>
          <w:sz w:val="24"/>
          <w:szCs w:val="24"/>
        </w:rPr>
        <w:t>S</w:t>
      </w:r>
      <w:r w:rsidR="00D91880">
        <w:rPr>
          <w:rFonts w:ascii="Times New Roman" w:hAnsi="Times New Roman" w:cs="Times New Roman"/>
          <w:sz w:val="24"/>
          <w:szCs w:val="24"/>
        </w:rPr>
        <w:t xml:space="preserve">o we </w:t>
      </w:r>
      <w:r w:rsidR="00F9208C">
        <w:rPr>
          <w:rFonts w:ascii="Times New Roman" w:hAnsi="Times New Roman" w:cs="Times New Roman"/>
          <w:sz w:val="24"/>
          <w:szCs w:val="24"/>
        </w:rPr>
        <w:t xml:space="preserve">used the absorbance measured at </w:t>
      </w:r>
      <w:r w:rsidR="002B402B">
        <w:rPr>
          <w:rFonts w:ascii="Times New Roman" w:hAnsi="Times New Roman" w:cs="Times New Roman"/>
          <w:sz w:val="24"/>
          <w:szCs w:val="24"/>
        </w:rPr>
        <w:t>540</w:t>
      </w:r>
      <w:r w:rsidR="00F9208C">
        <w:rPr>
          <w:rFonts w:ascii="Times New Roman" w:hAnsi="Times New Roman" w:cs="Times New Roman"/>
          <w:sz w:val="24"/>
          <w:szCs w:val="24"/>
        </w:rPr>
        <w:t xml:space="preserve"> nm to reproduce a plot.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76"/>
        <w:gridCol w:w="950"/>
        <w:gridCol w:w="956"/>
        <w:gridCol w:w="956"/>
        <w:gridCol w:w="1076"/>
        <w:gridCol w:w="930"/>
        <w:gridCol w:w="930"/>
        <w:gridCol w:w="1050"/>
      </w:tblGrid>
      <w:tr w:rsidR="00EF0333" w:rsidRPr="00D91880" w:rsidTr="00905A02">
        <w:trPr>
          <w:trHeight w:val="288"/>
        </w:trPr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8841E9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880">
              <w:rPr>
                <w:rFonts w:ascii="Times New Roman" w:eastAsia="Times New Roman" w:hAnsi="Times New Roman" w:cs="Times New Roman"/>
                <w:sz w:val="24"/>
                <w:szCs w:val="24"/>
              </w:rPr>
              <w:t>Wavelength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2B402B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  <w:r w:rsidR="008841E9"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nm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EF0333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EF0333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EF0333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EF0333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EF0333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EF0333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0333" w:rsidRPr="00D91880" w:rsidTr="00905A02">
        <w:trPr>
          <w:trHeight w:val="288"/>
        </w:trPr>
        <w:tc>
          <w:tcPr>
            <w:tcW w:w="0" w:type="auto"/>
            <w:gridSpan w:val="2"/>
            <w:shd w:val="clear" w:color="auto" w:fill="auto"/>
            <w:noWrap/>
            <w:hideMark/>
          </w:tcPr>
          <w:p w:rsidR="008841E9" w:rsidRPr="008841E9" w:rsidRDefault="008841E9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1st measurement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8841E9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1% </w:t>
            </w:r>
            <w:proofErr w:type="spellStart"/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EF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8841E9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5%</w:t>
            </w:r>
            <w:r w:rsidR="00D9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EF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8841E9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10% </w:t>
            </w:r>
            <w:proofErr w:type="spellStart"/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EF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8841E9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1% </w:t>
            </w:r>
            <w:proofErr w:type="spellStart"/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EF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8841E9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5% </w:t>
            </w:r>
            <w:proofErr w:type="spellStart"/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EF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8841E9" w:rsidRDefault="008841E9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10% </w:t>
            </w:r>
            <w:proofErr w:type="spellStart"/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EF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2B402B" w:rsidRPr="00D91880" w:rsidTr="00905A02">
        <w:trPr>
          <w:trHeight w:val="144"/>
        </w:trPr>
        <w:tc>
          <w:tcPr>
            <w:tcW w:w="0" w:type="auto"/>
            <w:shd w:val="clear" w:color="auto" w:fill="auto"/>
            <w:noWrap/>
            <w:hideMark/>
          </w:tcPr>
          <w:p w:rsidR="002B402B" w:rsidRPr="008841E9" w:rsidRDefault="002B402B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8841E9" w:rsidRDefault="002B402B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glgC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0.779</w:t>
            </w:r>
          </w:p>
        </w:tc>
      </w:tr>
      <w:tr w:rsidR="002B402B" w:rsidRPr="00D91880" w:rsidTr="00905A02">
        <w:trPr>
          <w:trHeight w:val="144"/>
        </w:trPr>
        <w:tc>
          <w:tcPr>
            <w:tcW w:w="0" w:type="auto"/>
            <w:shd w:val="clear" w:color="auto" w:fill="auto"/>
            <w:noWrap/>
            <w:hideMark/>
          </w:tcPr>
          <w:p w:rsidR="002B402B" w:rsidRPr="008841E9" w:rsidRDefault="002B402B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8841E9" w:rsidRDefault="002B402B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Control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0.179</w:t>
            </w:r>
          </w:p>
        </w:tc>
      </w:tr>
      <w:tr w:rsidR="00EF0333" w:rsidRPr="00D91880" w:rsidTr="00905A02">
        <w:trPr>
          <w:trHeight w:val="144"/>
        </w:trPr>
        <w:tc>
          <w:tcPr>
            <w:tcW w:w="0" w:type="auto"/>
            <w:gridSpan w:val="2"/>
            <w:shd w:val="clear" w:color="auto" w:fill="auto"/>
            <w:noWrap/>
            <w:hideMark/>
          </w:tcPr>
          <w:p w:rsidR="008841E9" w:rsidRPr="008841E9" w:rsidRDefault="008841E9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2nd measurement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905A02" w:rsidRDefault="008841E9" w:rsidP="0090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1% </w:t>
            </w:r>
            <w:proofErr w:type="spellStart"/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EF0333"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905A02" w:rsidRDefault="008841E9" w:rsidP="0090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5%</w:t>
            </w:r>
            <w:r w:rsidR="00D91880"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EF0333"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905A02" w:rsidRDefault="008841E9" w:rsidP="0090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10% </w:t>
            </w:r>
            <w:proofErr w:type="spellStart"/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EF0333"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905A02" w:rsidRDefault="008841E9" w:rsidP="0090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1% </w:t>
            </w:r>
            <w:proofErr w:type="spellStart"/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EF0333"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905A02" w:rsidRDefault="008841E9" w:rsidP="0090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5% </w:t>
            </w:r>
            <w:proofErr w:type="spellStart"/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EF0333"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8841E9" w:rsidRPr="00905A02" w:rsidRDefault="008841E9" w:rsidP="0090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10% </w:t>
            </w:r>
            <w:proofErr w:type="spellStart"/>
            <w:r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EF0333" w:rsidRPr="00905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2B402B" w:rsidRPr="00D91880" w:rsidTr="00905A02">
        <w:trPr>
          <w:trHeight w:val="144"/>
        </w:trPr>
        <w:tc>
          <w:tcPr>
            <w:tcW w:w="0" w:type="auto"/>
            <w:shd w:val="clear" w:color="auto" w:fill="auto"/>
            <w:noWrap/>
            <w:hideMark/>
          </w:tcPr>
          <w:p w:rsidR="002B402B" w:rsidRPr="008841E9" w:rsidRDefault="002B402B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8841E9" w:rsidRDefault="002B402B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glgC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0.848</w:t>
            </w:r>
          </w:p>
        </w:tc>
      </w:tr>
      <w:tr w:rsidR="002B402B" w:rsidRPr="00D91880" w:rsidTr="00905A02">
        <w:trPr>
          <w:trHeight w:val="144"/>
        </w:trPr>
        <w:tc>
          <w:tcPr>
            <w:tcW w:w="0" w:type="auto"/>
            <w:shd w:val="clear" w:color="auto" w:fill="auto"/>
            <w:noWrap/>
            <w:hideMark/>
          </w:tcPr>
          <w:p w:rsidR="002B402B" w:rsidRPr="008841E9" w:rsidRDefault="002B402B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8841E9" w:rsidRDefault="002B402B" w:rsidP="00905A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Control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B402B" w:rsidRPr="00905A02" w:rsidRDefault="002B402B" w:rsidP="00905A0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0.195</w:t>
            </w:r>
          </w:p>
        </w:tc>
      </w:tr>
    </w:tbl>
    <w:p w:rsidR="008841E9" w:rsidRPr="00905A02" w:rsidRDefault="00905A02">
      <w:pPr>
        <w:rPr>
          <w:rFonts w:ascii="Times New Roman" w:hAnsi="Times New Roman" w:cs="Times New Roman"/>
          <w:sz w:val="20"/>
          <w:szCs w:val="20"/>
        </w:rPr>
      </w:pPr>
      <w:r w:rsidRPr="00905A02">
        <w:rPr>
          <w:rFonts w:ascii="Times New Roman" w:hAnsi="Times New Roman" w:cs="Times New Roman"/>
          <w:b/>
          <w:sz w:val="20"/>
          <w:szCs w:val="20"/>
        </w:rPr>
        <w:t xml:space="preserve">Table 1. Absorbance readings of K12+glgC and Jump (control) treated with sugar solution of various concentrations after 2 hrs. </w:t>
      </w:r>
      <w:r w:rsidRPr="00905A02">
        <w:rPr>
          <w:rFonts w:ascii="Times New Roman" w:hAnsi="Times New Roman" w:cs="Times New Roman"/>
          <w:sz w:val="20"/>
          <w:szCs w:val="20"/>
        </w:rPr>
        <w:t xml:space="preserve">All these values have been normalized. The two measurements were taken between 30 secs. 10% glucose solution treatment has the most significant effect on glycogen synthesis. Compared to glucose, fructose nearly has no effect on glycogen synthesis. Theoretically, fructose should be taken up by </w:t>
      </w:r>
      <w:proofErr w:type="spellStart"/>
      <w:r w:rsidRPr="00905A02">
        <w:rPr>
          <w:rFonts w:ascii="Times New Roman" w:hAnsi="Times New Roman" w:cs="Times New Roman"/>
          <w:sz w:val="20"/>
          <w:szCs w:val="20"/>
        </w:rPr>
        <w:t>levansucrase</w:t>
      </w:r>
      <w:proofErr w:type="spellEnd"/>
      <w:r w:rsidRPr="00905A02">
        <w:rPr>
          <w:rFonts w:ascii="Times New Roman" w:hAnsi="Times New Roman" w:cs="Times New Roman"/>
          <w:sz w:val="20"/>
          <w:szCs w:val="20"/>
        </w:rPr>
        <w:t xml:space="preserve"> encoded by </w:t>
      </w:r>
      <w:proofErr w:type="spellStart"/>
      <w:r w:rsidRPr="00905A02">
        <w:rPr>
          <w:rFonts w:ascii="Times New Roman" w:hAnsi="Times New Roman" w:cs="Times New Roman"/>
          <w:sz w:val="20"/>
          <w:szCs w:val="20"/>
        </w:rPr>
        <w:t>sacB</w:t>
      </w:r>
      <w:proofErr w:type="spellEnd"/>
      <w:r w:rsidRPr="00905A02">
        <w:rPr>
          <w:rFonts w:ascii="Times New Roman" w:hAnsi="Times New Roman" w:cs="Times New Roman"/>
          <w:sz w:val="20"/>
          <w:szCs w:val="20"/>
        </w:rPr>
        <w:t xml:space="preserve"> gene in our design. </w:t>
      </w:r>
    </w:p>
    <w:p w:rsidR="00C07BDE" w:rsidRDefault="00905A02">
      <w:pPr>
        <w:rPr>
          <w:rFonts w:ascii="Times New Roman" w:hAnsi="Times New Roman" w:cs="Times New Roman"/>
          <w:sz w:val="24"/>
          <w:szCs w:val="24"/>
        </w:rPr>
      </w:pPr>
      <w:r w:rsidRPr="00905A02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1C58FCB5" wp14:editId="1CE378C8">
            <wp:simplePos x="0" y="0"/>
            <wp:positionH relativeFrom="column">
              <wp:posOffset>434340</wp:posOffset>
            </wp:positionH>
            <wp:positionV relativeFrom="paragraph">
              <wp:posOffset>297180</wp:posOffset>
            </wp:positionV>
            <wp:extent cx="4808220" cy="2834640"/>
            <wp:effectExtent l="0" t="0" r="11430" b="3810"/>
            <wp:wrapTopAndBottom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0333" w:rsidRPr="00905A02" w:rsidRDefault="00905A02" w:rsidP="00EF0333">
      <w:pPr>
        <w:rPr>
          <w:rFonts w:ascii="Times New Roman" w:hAnsi="Times New Roman" w:cs="Times New Roman"/>
          <w:sz w:val="20"/>
          <w:szCs w:val="20"/>
        </w:rPr>
      </w:pPr>
      <w:r w:rsidRPr="00905A02">
        <w:rPr>
          <w:rFonts w:ascii="Times New Roman" w:hAnsi="Times New Roman" w:cs="Times New Roman"/>
          <w:b/>
          <w:bCs/>
          <w:sz w:val="20"/>
          <w:szCs w:val="20"/>
        </w:rPr>
        <w:t xml:space="preserve">Figure 1. </w:t>
      </w:r>
      <w:r w:rsidR="00EF0333" w:rsidRPr="00905A02">
        <w:rPr>
          <w:rFonts w:ascii="Times New Roman" w:hAnsi="Times New Roman" w:cs="Times New Roman"/>
          <w:b/>
          <w:bCs/>
          <w:sz w:val="20"/>
          <w:szCs w:val="20"/>
        </w:rPr>
        <w:t xml:space="preserve">Relative Glycogen concentration measured by absorbance. </w:t>
      </w:r>
      <w:r w:rsidR="00EF0333" w:rsidRPr="00905A02">
        <w:rPr>
          <w:rFonts w:ascii="Times New Roman" w:hAnsi="Times New Roman" w:cs="Times New Roman"/>
          <w:sz w:val="20"/>
          <w:szCs w:val="20"/>
        </w:rPr>
        <w:t>Averaged values from the two measurements</w:t>
      </w:r>
      <w:r w:rsidRPr="00905A02">
        <w:rPr>
          <w:rFonts w:ascii="Times New Roman" w:hAnsi="Times New Roman" w:cs="Times New Roman"/>
          <w:sz w:val="20"/>
          <w:szCs w:val="20"/>
        </w:rPr>
        <w:t xml:space="preserve"> in Table 1</w:t>
      </w:r>
      <w:r w:rsidR="00EF0333" w:rsidRPr="00905A02">
        <w:rPr>
          <w:rFonts w:ascii="Times New Roman" w:hAnsi="Times New Roman" w:cs="Times New Roman"/>
          <w:sz w:val="20"/>
          <w:szCs w:val="20"/>
        </w:rPr>
        <w:t xml:space="preserve"> are used to construct the plot. As we can see the </w:t>
      </w:r>
      <w:r w:rsidR="0046180A" w:rsidRPr="00905A02">
        <w:rPr>
          <w:rFonts w:ascii="Times New Roman" w:hAnsi="Times New Roman" w:cs="Times New Roman"/>
          <w:sz w:val="20"/>
          <w:szCs w:val="20"/>
        </w:rPr>
        <w:t xml:space="preserve">trend is as we expected. Higher starting glucose concentration results in higher absorbance readings. K12+glgc treated with glucose generated higher readings than that treated with fructose and also significantly higher than the controls. </w:t>
      </w:r>
    </w:p>
    <w:p w:rsidR="00EF0333" w:rsidRDefault="00EF033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1"/>
        <w:tblW w:w="7735" w:type="dxa"/>
        <w:tblLook w:val="04A0" w:firstRow="1" w:lastRow="0" w:firstColumn="1" w:lastColumn="0" w:noHBand="0" w:noVBand="1"/>
      </w:tblPr>
      <w:tblGrid>
        <w:gridCol w:w="1520"/>
        <w:gridCol w:w="960"/>
        <w:gridCol w:w="960"/>
        <w:gridCol w:w="960"/>
        <w:gridCol w:w="960"/>
        <w:gridCol w:w="960"/>
        <w:gridCol w:w="1415"/>
      </w:tblGrid>
      <w:tr w:rsidR="008252B7" w:rsidRPr="008252B7" w:rsidTr="00366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hideMark/>
          </w:tcPr>
          <w:p w:rsidR="008252B7" w:rsidRPr="008252B7" w:rsidRDefault="008252B7" w:rsidP="008252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1% G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5%G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10% G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1% F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5% F</w:t>
            </w:r>
          </w:p>
        </w:tc>
        <w:tc>
          <w:tcPr>
            <w:tcW w:w="1415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10% F</w:t>
            </w:r>
          </w:p>
        </w:tc>
      </w:tr>
      <w:tr w:rsidR="008252B7" w:rsidRPr="008252B7" w:rsidTr="00366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hideMark/>
          </w:tcPr>
          <w:p w:rsidR="008252B7" w:rsidRPr="008252B7" w:rsidRDefault="008252B7" w:rsidP="008252B7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252B7">
              <w:rPr>
                <w:rFonts w:ascii="Calibri" w:eastAsia="Times New Roman" w:hAnsi="Calibri" w:cs="Times New Roman"/>
                <w:color w:val="000000"/>
              </w:rPr>
              <w:t>glgC</w:t>
            </w:r>
            <w:proofErr w:type="spellEnd"/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0.379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0.982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1.014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0.043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0.153</w:t>
            </w:r>
          </w:p>
        </w:tc>
        <w:tc>
          <w:tcPr>
            <w:tcW w:w="1415" w:type="dxa"/>
            <w:noWrap/>
            <w:hideMark/>
          </w:tcPr>
          <w:p w:rsidR="008252B7" w:rsidRPr="008252B7" w:rsidRDefault="008252B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0.313</w:t>
            </w:r>
          </w:p>
        </w:tc>
      </w:tr>
      <w:tr w:rsidR="008252B7" w:rsidRPr="008252B7" w:rsidTr="0036675D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hideMark/>
          </w:tcPr>
          <w:p w:rsidR="008252B7" w:rsidRPr="008252B7" w:rsidRDefault="008252B7" w:rsidP="008252B7">
            <w:pPr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Control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0.105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0.126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0.169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0.156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0.551</w:t>
            </w:r>
          </w:p>
        </w:tc>
        <w:tc>
          <w:tcPr>
            <w:tcW w:w="1415" w:type="dxa"/>
            <w:noWrap/>
            <w:hideMark/>
          </w:tcPr>
          <w:p w:rsidR="008252B7" w:rsidRPr="008252B7" w:rsidRDefault="008252B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0.069</w:t>
            </w:r>
          </w:p>
        </w:tc>
      </w:tr>
      <w:tr w:rsidR="00971007" w:rsidRPr="00971007" w:rsidTr="00366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hideMark/>
          </w:tcPr>
          <w:p w:rsidR="00971007" w:rsidRPr="00971007" w:rsidRDefault="00971007" w:rsidP="00971007">
            <w:pPr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Concentration</w:t>
            </w:r>
          </w:p>
        </w:tc>
        <w:tc>
          <w:tcPr>
            <w:tcW w:w="960" w:type="dxa"/>
            <w:noWrap/>
            <w:hideMark/>
          </w:tcPr>
          <w:p w:rsidR="00971007" w:rsidRP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971007" w:rsidRP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  <w:tc>
          <w:tcPr>
            <w:tcW w:w="960" w:type="dxa"/>
            <w:noWrap/>
            <w:hideMark/>
          </w:tcPr>
          <w:p w:rsidR="00971007" w:rsidRP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960" w:type="dxa"/>
            <w:noWrap/>
            <w:hideMark/>
          </w:tcPr>
          <w:p w:rsidR="00971007" w:rsidRP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960" w:type="dxa"/>
            <w:noWrap/>
            <w:hideMark/>
          </w:tcPr>
          <w:p w:rsidR="00971007" w:rsidRP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415" w:type="dxa"/>
            <w:noWrap/>
            <w:hideMark/>
          </w:tcPr>
          <w:p w:rsidR="00971007" w:rsidRP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0.2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ug</w:t>
            </w:r>
            <w:proofErr w:type="spellEnd"/>
            <w:r w:rsidR="0036675D">
              <w:rPr>
                <w:rFonts w:ascii="Calibri" w:eastAsia="Times New Roman" w:hAnsi="Calibri" w:cs="Times New Roman"/>
                <w:color w:val="000000"/>
              </w:rPr>
              <w:t>/well</w:t>
            </w:r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8252B7" w:rsidRPr="00971007" w:rsidTr="0036675D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hideMark/>
          </w:tcPr>
          <w:p w:rsidR="00971007" w:rsidRPr="00971007" w:rsidRDefault="00971007" w:rsidP="00971007">
            <w:pPr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Duplicate 1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0.044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0.139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0.411*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0.393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0.483</w:t>
            </w:r>
          </w:p>
        </w:tc>
        <w:tc>
          <w:tcPr>
            <w:tcW w:w="1415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0.527</w:t>
            </w:r>
          </w:p>
        </w:tc>
      </w:tr>
      <w:tr w:rsidR="00971007" w:rsidRPr="00971007" w:rsidTr="00366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hideMark/>
          </w:tcPr>
          <w:p w:rsidR="00971007" w:rsidRPr="00971007" w:rsidRDefault="00971007" w:rsidP="00971007">
            <w:pPr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Duplicate 2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0.082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0.211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0.293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1.133*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0.526</w:t>
            </w:r>
          </w:p>
        </w:tc>
        <w:tc>
          <w:tcPr>
            <w:tcW w:w="1415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0.564</w:t>
            </w:r>
          </w:p>
        </w:tc>
      </w:tr>
      <w:tr w:rsidR="008252B7" w:rsidRPr="00971007" w:rsidTr="0036675D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hideMark/>
          </w:tcPr>
          <w:p w:rsidR="00971007" w:rsidRPr="00971007" w:rsidRDefault="00971007" w:rsidP="00971007">
            <w:pPr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>Normalized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0.000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0.095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0.349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0.439</w:t>
            </w:r>
          </w:p>
        </w:tc>
        <w:tc>
          <w:tcPr>
            <w:tcW w:w="1415" w:type="dxa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0.483</w:t>
            </w:r>
          </w:p>
        </w:tc>
      </w:tr>
      <w:tr w:rsidR="00971007" w:rsidRPr="00971007" w:rsidTr="00366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hideMark/>
          </w:tcPr>
          <w:p w:rsidR="00971007" w:rsidRPr="00971007" w:rsidRDefault="00971007" w:rsidP="0097100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0.000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0.129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0.211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</w:p>
        </w:tc>
        <w:tc>
          <w:tcPr>
            <w:tcW w:w="960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0.444</w:t>
            </w:r>
          </w:p>
        </w:tc>
        <w:tc>
          <w:tcPr>
            <w:tcW w:w="1415" w:type="dxa"/>
            <w:noWrap/>
            <w:vAlign w:val="bottom"/>
            <w:hideMark/>
          </w:tcPr>
          <w:p w:rsidR="00971007" w:rsidRDefault="00971007" w:rsidP="00366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0.482</w:t>
            </w:r>
          </w:p>
        </w:tc>
      </w:tr>
      <w:tr w:rsidR="00971007" w:rsidRPr="00971007" w:rsidTr="0036675D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shd w:val="clear" w:color="auto" w:fill="D0CECE" w:themeFill="background2" w:themeFillShade="E6"/>
            <w:noWrap/>
            <w:hideMark/>
          </w:tcPr>
          <w:p w:rsidR="00971007" w:rsidRPr="00971007" w:rsidRDefault="00971007" w:rsidP="00971007">
            <w:pPr>
              <w:rPr>
                <w:rFonts w:ascii="Calibri" w:eastAsia="Times New Roman" w:hAnsi="Calibri" w:cs="Times New Roman"/>
                <w:color w:val="000000"/>
              </w:rPr>
            </w:pPr>
            <w:r w:rsidRPr="00971007">
              <w:rPr>
                <w:rFonts w:ascii="Calibri" w:eastAsia="Times New Roman" w:hAnsi="Calibri" w:cs="Times New Roman"/>
                <w:color w:val="000000"/>
              </w:rPr>
              <w:t xml:space="preserve">Averaged </w:t>
            </w:r>
          </w:p>
        </w:tc>
        <w:tc>
          <w:tcPr>
            <w:tcW w:w="960" w:type="dxa"/>
            <w:shd w:val="clear" w:color="auto" w:fill="D0CECE" w:themeFill="background2" w:themeFillShade="E6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0.000</w:t>
            </w:r>
          </w:p>
        </w:tc>
        <w:tc>
          <w:tcPr>
            <w:tcW w:w="960" w:type="dxa"/>
            <w:shd w:val="clear" w:color="auto" w:fill="D0CECE" w:themeFill="background2" w:themeFillShade="E6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0.112</w:t>
            </w:r>
          </w:p>
        </w:tc>
        <w:tc>
          <w:tcPr>
            <w:tcW w:w="960" w:type="dxa"/>
            <w:shd w:val="clear" w:color="auto" w:fill="D0CECE" w:themeFill="background2" w:themeFillShade="E6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0.211</w:t>
            </w:r>
          </w:p>
        </w:tc>
        <w:tc>
          <w:tcPr>
            <w:tcW w:w="960" w:type="dxa"/>
            <w:shd w:val="clear" w:color="auto" w:fill="D0CECE" w:themeFill="background2" w:themeFillShade="E6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0.349</w:t>
            </w:r>
          </w:p>
        </w:tc>
        <w:tc>
          <w:tcPr>
            <w:tcW w:w="960" w:type="dxa"/>
            <w:shd w:val="clear" w:color="auto" w:fill="D0CECE" w:themeFill="background2" w:themeFillShade="E6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0.442</w:t>
            </w:r>
          </w:p>
        </w:tc>
        <w:tc>
          <w:tcPr>
            <w:tcW w:w="1415" w:type="dxa"/>
            <w:shd w:val="clear" w:color="auto" w:fill="D0CECE" w:themeFill="background2" w:themeFillShade="E6"/>
            <w:noWrap/>
            <w:vAlign w:val="bottom"/>
            <w:hideMark/>
          </w:tcPr>
          <w:p w:rsidR="00971007" w:rsidRDefault="00971007" w:rsidP="00366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0.483</w:t>
            </w:r>
          </w:p>
        </w:tc>
      </w:tr>
    </w:tbl>
    <w:p w:rsidR="002B402B" w:rsidRPr="00905A02" w:rsidRDefault="00971007">
      <w:pPr>
        <w:rPr>
          <w:rFonts w:ascii="Times New Roman" w:hAnsi="Times New Roman" w:cs="Times New Roman"/>
          <w:sz w:val="20"/>
          <w:szCs w:val="20"/>
        </w:rPr>
      </w:pPr>
      <w:r w:rsidRPr="00905A02">
        <w:rPr>
          <w:rFonts w:ascii="Times New Roman" w:hAnsi="Times New Roman" w:cs="Times New Roman"/>
          <w:b/>
          <w:sz w:val="20"/>
          <w:szCs w:val="20"/>
        </w:rPr>
        <w:t xml:space="preserve">Table 2. Absorbance readings on glycogen samples of known concentration. </w:t>
      </w:r>
      <w:r w:rsidRPr="00905A02">
        <w:rPr>
          <w:rFonts w:ascii="Times New Roman" w:hAnsi="Times New Roman" w:cs="Times New Roman"/>
          <w:sz w:val="20"/>
          <w:szCs w:val="20"/>
        </w:rPr>
        <w:t>These samples are made from the glycogen standard (2mg/mL) provided by the assay kit. Asterisk sign (*) means abnormal values, probably due to air bubbles in the well. Thus these values are removed when normalizing. The first row denotes the diluted final conce</w:t>
      </w:r>
      <w:r w:rsidR="005427D6">
        <w:rPr>
          <w:rFonts w:ascii="Times New Roman" w:hAnsi="Times New Roman" w:cs="Times New Roman"/>
          <w:sz w:val="20"/>
          <w:szCs w:val="20"/>
        </w:rPr>
        <w:t xml:space="preserve">ntration of the samples in </w:t>
      </w:r>
      <w:proofErr w:type="spellStart"/>
      <w:r w:rsidR="005427D6">
        <w:rPr>
          <w:rFonts w:ascii="Times New Roman" w:hAnsi="Times New Roman" w:cs="Times New Roman"/>
          <w:sz w:val="20"/>
          <w:szCs w:val="20"/>
        </w:rPr>
        <w:t>ug</w:t>
      </w:r>
      <w:proofErr w:type="spellEnd"/>
      <w:r w:rsidR="005427D6">
        <w:rPr>
          <w:rFonts w:ascii="Times New Roman" w:hAnsi="Times New Roman" w:cs="Times New Roman"/>
          <w:sz w:val="20"/>
          <w:szCs w:val="20"/>
        </w:rPr>
        <w:t>/well</w:t>
      </w:r>
      <w:r w:rsidRPr="00905A02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971007" w:rsidRDefault="00971007">
      <w:pPr>
        <w:rPr>
          <w:rFonts w:ascii="Times New Roman" w:hAnsi="Times New Roman" w:cs="Times New Roman"/>
          <w:sz w:val="24"/>
          <w:szCs w:val="24"/>
        </w:rPr>
      </w:pPr>
    </w:p>
    <w:p w:rsidR="00C07BDE" w:rsidRDefault="00905A0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1C09227" wp14:editId="234B92F0">
            <wp:extent cx="4572000" cy="27432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05A02" w:rsidRDefault="00905A02" w:rsidP="002B402B">
      <w:pPr>
        <w:rPr>
          <w:rFonts w:ascii="Times New Roman" w:hAnsi="Times New Roman" w:cs="Times New Roman"/>
          <w:sz w:val="20"/>
          <w:szCs w:val="20"/>
        </w:rPr>
      </w:pPr>
      <w:r w:rsidRPr="00905A02">
        <w:rPr>
          <w:rFonts w:ascii="Times New Roman" w:hAnsi="Times New Roman" w:cs="Times New Roman"/>
          <w:b/>
          <w:sz w:val="20"/>
          <w:szCs w:val="20"/>
        </w:rPr>
        <w:t xml:space="preserve">Figure 2. </w:t>
      </w:r>
      <w:r w:rsidR="002B402B" w:rsidRPr="00905A02">
        <w:rPr>
          <w:rFonts w:ascii="Times New Roman" w:hAnsi="Times New Roman" w:cs="Times New Roman"/>
          <w:b/>
          <w:sz w:val="20"/>
          <w:szCs w:val="20"/>
        </w:rPr>
        <w:t xml:space="preserve">Standard Glycogen Curve measured at 540 nm. </w:t>
      </w:r>
      <w:r w:rsidR="002B402B" w:rsidRPr="00905A02">
        <w:rPr>
          <w:rFonts w:ascii="Times New Roman" w:hAnsi="Times New Roman" w:cs="Times New Roman"/>
          <w:sz w:val="20"/>
          <w:szCs w:val="20"/>
        </w:rPr>
        <w:t xml:space="preserve">This standard curve is </w:t>
      </w:r>
      <w:r w:rsidR="00971007" w:rsidRPr="00905A02">
        <w:rPr>
          <w:rFonts w:ascii="Times New Roman" w:hAnsi="Times New Roman" w:cs="Times New Roman"/>
          <w:sz w:val="20"/>
          <w:szCs w:val="20"/>
        </w:rPr>
        <w:t xml:space="preserve">produced based on Table 2 above. As expected, the standard curve is linear and is fitted with </w:t>
      </w:r>
      <w:r w:rsidR="008252B7">
        <w:rPr>
          <w:rFonts w:ascii="Times New Roman" w:hAnsi="Times New Roman" w:cs="Times New Roman"/>
          <w:sz w:val="20"/>
          <w:szCs w:val="20"/>
        </w:rPr>
        <w:t>y = 0.3888x + 0.0034</w:t>
      </w:r>
      <w:r w:rsidR="00971007" w:rsidRPr="00905A02">
        <w:rPr>
          <w:rFonts w:ascii="Times New Roman" w:hAnsi="Times New Roman" w:cs="Times New Roman"/>
          <w:sz w:val="20"/>
          <w:szCs w:val="20"/>
        </w:rPr>
        <w:t>, with a R</w:t>
      </w:r>
      <w:r w:rsidR="00971007" w:rsidRPr="00905A02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&gt; 0.98.</w:t>
      </w:r>
    </w:p>
    <w:p w:rsidR="00905A02" w:rsidRPr="00C25404" w:rsidRDefault="00905A02" w:rsidP="002B402B">
      <w:pPr>
        <w:rPr>
          <w:rFonts w:ascii="Times New Roman" w:hAnsi="Times New Roman" w:cs="Times New Roman"/>
          <w:sz w:val="24"/>
          <w:szCs w:val="24"/>
        </w:rPr>
      </w:pPr>
    </w:p>
    <w:p w:rsidR="00F9208C" w:rsidRPr="00C25404" w:rsidRDefault="00971007">
      <w:pPr>
        <w:rPr>
          <w:rFonts w:ascii="Times New Roman" w:hAnsi="Times New Roman" w:cs="Times New Roman"/>
          <w:sz w:val="24"/>
          <w:szCs w:val="24"/>
        </w:rPr>
      </w:pPr>
      <w:r w:rsidRPr="00C25404">
        <w:rPr>
          <w:rFonts w:ascii="Times New Roman" w:hAnsi="Times New Roman" w:cs="Times New Roman"/>
          <w:sz w:val="24"/>
          <w:szCs w:val="24"/>
        </w:rPr>
        <w:t xml:space="preserve"> </w:t>
      </w:r>
      <w:r w:rsidR="00C25404" w:rsidRPr="00C25404">
        <w:rPr>
          <w:rFonts w:ascii="Times New Roman" w:hAnsi="Times New Roman" w:cs="Times New Roman"/>
          <w:sz w:val="24"/>
          <w:szCs w:val="24"/>
        </w:rPr>
        <w:t xml:space="preserve">If we plug the measured absorbance readings to the equation </w:t>
      </w:r>
      <w:r w:rsidR="00C25404" w:rsidRPr="00C25404">
        <w:rPr>
          <w:rFonts w:ascii="Times New Roman" w:hAnsi="Times New Roman" w:cs="Times New Roman"/>
          <w:sz w:val="24"/>
          <w:szCs w:val="24"/>
        </w:rPr>
        <w:t>y = 0.3888x + 0.0034</w:t>
      </w:r>
      <w:r w:rsidR="00C25404" w:rsidRPr="00C25404">
        <w:rPr>
          <w:rFonts w:ascii="Times New Roman" w:hAnsi="Times New Roman" w:cs="Times New Roman"/>
          <w:sz w:val="24"/>
          <w:szCs w:val="24"/>
        </w:rPr>
        <w:t xml:space="preserve">, then we have the estimated concentrations of glycogen in each sample. </w:t>
      </w:r>
    </w:p>
    <w:tbl>
      <w:tblPr>
        <w:tblStyle w:val="PlainTable1"/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8252B7" w:rsidRPr="008252B7" w:rsidTr="00C254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8252B7" w:rsidRPr="008252B7" w:rsidRDefault="008252B7" w:rsidP="008252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1% G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5%G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10% G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1% F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5% F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10% F</w:t>
            </w:r>
          </w:p>
        </w:tc>
      </w:tr>
      <w:tr w:rsidR="008252B7" w:rsidRPr="008252B7" w:rsidTr="00C25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8252B7" w:rsidRPr="008252B7" w:rsidRDefault="008252B7" w:rsidP="008252B7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252B7">
              <w:rPr>
                <w:rFonts w:ascii="Calibri" w:eastAsia="Times New Roman" w:hAnsi="Calibri" w:cs="Times New Roman"/>
                <w:color w:val="000000"/>
              </w:rPr>
              <w:t>glgC</w:t>
            </w:r>
            <w:proofErr w:type="spellEnd"/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0.379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0.982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1.014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0.043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0.153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0.313</w:t>
            </w:r>
          </w:p>
        </w:tc>
      </w:tr>
      <w:tr w:rsidR="008252B7" w:rsidRPr="008252B7" w:rsidTr="00C2540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8252B7" w:rsidRPr="008252B7" w:rsidRDefault="008252B7" w:rsidP="008252B7">
            <w:pPr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Control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0.105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0.126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0.169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0.156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0.551</w:t>
            </w:r>
          </w:p>
        </w:tc>
        <w:tc>
          <w:tcPr>
            <w:tcW w:w="960" w:type="dxa"/>
            <w:noWrap/>
            <w:hideMark/>
          </w:tcPr>
          <w:p w:rsidR="008252B7" w:rsidRPr="008252B7" w:rsidRDefault="008252B7" w:rsidP="008252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252B7">
              <w:rPr>
                <w:rFonts w:ascii="Calibri" w:eastAsia="Times New Roman" w:hAnsi="Calibri" w:cs="Times New Roman"/>
                <w:color w:val="000000"/>
              </w:rPr>
              <w:t>0.069</w:t>
            </w:r>
          </w:p>
        </w:tc>
      </w:tr>
    </w:tbl>
    <w:p w:rsidR="002B402B" w:rsidRPr="0036675D" w:rsidRDefault="00C25404">
      <w:pPr>
        <w:rPr>
          <w:rFonts w:ascii="Times New Roman" w:hAnsi="Times New Roman" w:cs="Times New Roman"/>
          <w:sz w:val="20"/>
          <w:szCs w:val="20"/>
        </w:rPr>
      </w:pPr>
      <w:r w:rsidRPr="00C25404">
        <w:rPr>
          <w:rFonts w:ascii="Times New Roman" w:hAnsi="Times New Roman" w:cs="Times New Roman"/>
          <w:b/>
          <w:sz w:val="20"/>
          <w:szCs w:val="20"/>
        </w:rPr>
        <w:t xml:space="preserve">Table 3. Estimated concentration of glycogen in each </w:t>
      </w:r>
      <w:r w:rsidR="0036675D">
        <w:rPr>
          <w:rFonts w:ascii="Times New Roman" w:hAnsi="Times New Roman" w:cs="Times New Roman"/>
          <w:b/>
          <w:sz w:val="20"/>
          <w:szCs w:val="20"/>
        </w:rPr>
        <w:t xml:space="preserve">sample based on standard curve. </w:t>
      </w:r>
      <w:r w:rsidR="0036675D">
        <w:rPr>
          <w:rFonts w:ascii="Times New Roman" w:hAnsi="Times New Roman" w:cs="Times New Roman"/>
          <w:sz w:val="20"/>
          <w:szCs w:val="20"/>
        </w:rPr>
        <w:t xml:space="preserve">The unit is </w:t>
      </w:r>
      <w:proofErr w:type="spellStart"/>
      <w:r w:rsidR="0036675D">
        <w:rPr>
          <w:rFonts w:ascii="Times New Roman" w:hAnsi="Times New Roman" w:cs="Times New Roman"/>
          <w:sz w:val="20"/>
          <w:szCs w:val="20"/>
        </w:rPr>
        <w:t>ug</w:t>
      </w:r>
      <w:proofErr w:type="spellEnd"/>
      <w:r w:rsidR="0036675D">
        <w:rPr>
          <w:rFonts w:ascii="Times New Roman" w:hAnsi="Times New Roman" w:cs="Times New Roman"/>
          <w:sz w:val="20"/>
          <w:szCs w:val="20"/>
        </w:rPr>
        <w:t>/well.</w:t>
      </w:r>
    </w:p>
    <w:p w:rsidR="002B402B" w:rsidRDefault="00C254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Let’s assume bacteria normally produce some stable level of glycogen, then we can assume this level is the average of the glycogen concentration of the controls and the fructose-treated ones, with two obvious outliers removed (0.313 and 0.551). The average is then 0.117. </w:t>
      </w:r>
    </w:p>
    <w:p w:rsidR="00913A93" w:rsidRDefault="00C254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Subtract this value from</w:t>
      </w:r>
      <w:r w:rsidR="00913A93">
        <w:rPr>
          <w:rFonts w:ascii="Times New Roman" w:hAnsi="Times New Roman" w:cs="Times New Roman"/>
          <w:sz w:val="24"/>
          <w:szCs w:val="24"/>
        </w:rPr>
        <w:t xml:space="preserve"> the first three entries in the first row and intuitively with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A93">
        <w:rPr>
          <w:rFonts w:ascii="Times New Roman" w:hAnsi="Times New Roman" w:cs="Times New Roman"/>
          <w:sz w:val="24"/>
          <w:szCs w:val="24"/>
        </w:rPr>
        <w:t>glucose, no glycogen will be produced. Thus we have the following table.</w:t>
      </w:r>
    </w:p>
    <w:tbl>
      <w:tblPr>
        <w:tblStyle w:val="PlainTable1"/>
        <w:tblW w:w="5250" w:type="dxa"/>
        <w:tblLook w:val="04A0" w:firstRow="1" w:lastRow="0" w:firstColumn="1" w:lastColumn="0" w:noHBand="0" w:noVBand="1"/>
      </w:tblPr>
      <w:tblGrid>
        <w:gridCol w:w="1270"/>
        <w:gridCol w:w="1245"/>
        <w:gridCol w:w="815"/>
        <w:gridCol w:w="960"/>
        <w:gridCol w:w="960"/>
      </w:tblGrid>
      <w:tr w:rsidR="00913A93" w:rsidRPr="00913A93" w:rsidTr="005427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0" w:type="dxa"/>
            <w:noWrap/>
            <w:hideMark/>
          </w:tcPr>
          <w:p w:rsidR="00913A93" w:rsidRPr="00913A93" w:rsidRDefault="00913A93" w:rsidP="00913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noWrap/>
            <w:hideMark/>
          </w:tcPr>
          <w:p w:rsidR="00913A93" w:rsidRPr="00913A93" w:rsidRDefault="00913A93" w:rsidP="00542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13A93">
              <w:rPr>
                <w:rFonts w:ascii="Calibri" w:eastAsia="Times New Roman" w:hAnsi="Calibri" w:cs="Times New Roman"/>
                <w:color w:val="000000"/>
              </w:rPr>
              <w:t>No glucose</w:t>
            </w:r>
          </w:p>
        </w:tc>
        <w:tc>
          <w:tcPr>
            <w:tcW w:w="815" w:type="dxa"/>
            <w:noWrap/>
            <w:hideMark/>
          </w:tcPr>
          <w:p w:rsidR="00913A93" w:rsidRPr="00913A93" w:rsidRDefault="00913A93" w:rsidP="00542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13A93">
              <w:rPr>
                <w:rFonts w:ascii="Calibri" w:eastAsia="Times New Roman" w:hAnsi="Calibri" w:cs="Times New Roman"/>
                <w:color w:val="000000"/>
              </w:rPr>
              <w:t>1% G</w:t>
            </w:r>
          </w:p>
        </w:tc>
        <w:tc>
          <w:tcPr>
            <w:tcW w:w="960" w:type="dxa"/>
            <w:noWrap/>
            <w:hideMark/>
          </w:tcPr>
          <w:p w:rsidR="00913A93" w:rsidRPr="00913A93" w:rsidRDefault="00913A93" w:rsidP="00542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13A93">
              <w:rPr>
                <w:rFonts w:ascii="Calibri" w:eastAsia="Times New Roman" w:hAnsi="Calibri" w:cs="Times New Roman"/>
                <w:color w:val="000000"/>
              </w:rPr>
              <w:t>5%G</w:t>
            </w:r>
          </w:p>
        </w:tc>
        <w:tc>
          <w:tcPr>
            <w:tcW w:w="960" w:type="dxa"/>
            <w:noWrap/>
            <w:hideMark/>
          </w:tcPr>
          <w:p w:rsidR="00913A93" w:rsidRPr="00913A93" w:rsidRDefault="00913A93" w:rsidP="00542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13A93">
              <w:rPr>
                <w:rFonts w:ascii="Calibri" w:eastAsia="Times New Roman" w:hAnsi="Calibri" w:cs="Times New Roman"/>
                <w:color w:val="000000"/>
              </w:rPr>
              <w:t>10% G</w:t>
            </w:r>
          </w:p>
        </w:tc>
      </w:tr>
      <w:tr w:rsidR="00913A93" w:rsidRPr="00913A93" w:rsidTr="00542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0" w:type="dxa"/>
            <w:noWrap/>
            <w:hideMark/>
          </w:tcPr>
          <w:p w:rsidR="00913A93" w:rsidRPr="00913A93" w:rsidRDefault="00913A93" w:rsidP="00913A93">
            <w:pPr>
              <w:rPr>
                <w:rFonts w:ascii="Calibri" w:eastAsia="Times New Roman" w:hAnsi="Calibri" w:cs="Times New Roman"/>
                <w:color w:val="000000"/>
              </w:rPr>
            </w:pPr>
            <w:r w:rsidRPr="00913A93">
              <w:rPr>
                <w:rFonts w:ascii="Calibri" w:eastAsia="Times New Roman" w:hAnsi="Calibri" w:cs="Times New Roman"/>
                <w:color w:val="000000"/>
              </w:rPr>
              <w:t>Normalized</w:t>
            </w:r>
          </w:p>
        </w:tc>
        <w:tc>
          <w:tcPr>
            <w:tcW w:w="1245" w:type="dxa"/>
            <w:noWrap/>
            <w:hideMark/>
          </w:tcPr>
          <w:p w:rsidR="00913A93" w:rsidRPr="00913A93" w:rsidRDefault="00913A93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13A9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815" w:type="dxa"/>
            <w:noWrap/>
            <w:hideMark/>
          </w:tcPr>
          <w:p w:rsidR="00913A93" w:rsidRPr="00913A93" w:rsidRDefault="00913A93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13A93">
              <w:rPr>
                <w:rFonts w:ascii="Calibri" w:eastAsia="Times New Roman" w:hAnsi="Calibri" w:cs="Times New Roman"/>
                <w:color w:val="000000"/>
              </w:rPr>
              <w:t>0.262</w:t>
            </w:r>
          </w:p>
        </w:tc>
        <w:tc>
          <w:tcPr>
            <w:tcW w:w="960" w:type="dxa"/>
            <w:noWrap/>
            <w:hideMark/>
          </w:tcPr>
          <w:p w:rsidR="00913A93" w:rsidRPr="00913A93" w:rsidRDefault="00913A93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13A93">
              <w:rPr>
                <w:rFonts w:ascii="Calibri" w:eastAsia="Times New Roman" w:hAnsi="Calibri" w:cs="Times New Roman"/>
                <w:color w:val="000000"/>
              </w:rPr>
              <w:t>0.865</w:t>
            </w:r>
          </w:p>
        </w:tc>
        <w:tc>
          <w:tcPr>
            <w:tcW w:w="960" w:type="dxa"/>
            <w:noWrap/>
            <w:hideMark/>
          </w:tcPr>
          <w:p w:rsidR="00913A93" w:rsidRPr="00913A93" w:rsidRDefault="00913A93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13A93">
              <w:rPr>
                <w:rFonts w:ascii="Calibri" w:eastAsia="Times New Roman" w:hAnsi="Calibri" w:cs="Times New Roman"/>
                <w:color w:val="000000"/>
              </w:rPr>
              <w:t>0.897</w:t>
            </w:r>
          </w:p>
        </w:tc>
      </w:tr>
    </w:tbl>
    <w:p w:rsidR="00C25404" w:rsidRDefault="00C2540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A93">
        <w:rPr>
          <w:rFonts w:ascii="Times New Roman" w:hAnsi="Times New Roman" w:cs="Times New Roman"/>
          <w:b/>
          <w:sz w:val="20"/>
          <w:szCs w:val="20"/>
        </w:rPr>
        <w:t>Table 4</w:t>
      </w:r>
      <w:r w:rsidR="00913A93" w:rsidRPr="00C25404">
        <w:rPr>
          <w:rFonts w:ascii="Times New Roman" w:hAnsi="Times New Roman" w:cs="Times New Roman"/>
          <w:b/>
          <w:sz w:val="20"/>
          <w:szCs w:val="20"/>
        </w:rPr>
        <w:t xml:space="preserve">. Estimated concentration of glycogen </w:t>
      </w:r>
      <w:r w:rsidR="00913A93">
        <w:rPr>
          <w:rFonts w:ascii="Times New Roman" w:hAnsi="Times New Roman" w:cs="Times New Roman"/>
          <w:b/>
          <w:sz w:val="20"/>
          <w:szCs w:val="20"/>
        </w:rPr>
        <w:t xml:space="preserve">synthesized from different concentration of substrate, glucose. </w:t>
      </w:r>
      <w:r w:rsidR="0036675D">
        <w:rPr>
          <w:rFonts w:ascii="Times New Roman" w:hAnsi="Times New Roman" w:cs="Times New Roman"/>
          <w:sz w:val="20"/>
          <w:szCs w:val="20"/>
        </w:rPr>
        <w:t xml:space="preserve">The unit is </w:t>
      </w:r>
      <w:proofErr w:type="spellStart"/>
      <w:r w:rsidR="0036675D">
        <w:rPr>
          <w:rFonts w:ascii="Times New Roman" w:hAnsi="Times New Roman" w:cs="Times New Roman"/>
          <w:sz w:val="20"/>
          <w:szCs w:val="20"/>
        </w:rPr>
        <w:t>ug</w:t>
      </w:r>
      <w:proofErr w:type="spellEnd"/>
      <w:r w:rsidR="0036675D">
        <w:rPr>
          <w:rFonts w:ascii="Times New Roman" w:hAnsi="Times New Roman" w:cs="Times New Roman"/>
          <w:sz w:val="20"/>
          <w:szCs w:val="20"/>
        </w:rPr>
        <w:t>/well.</w:t>
      </w:r>
    </w:p>
    <w:p w:rsidR="00913A93" w:rsidRDefault="00913A93" w:rsidP="008531D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13A93" w:rsidRDefault="00913A9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We can then estimate the enzymatic velocity of </w:t>
      </w:r>
      <w:proofErr w:type="spellStart"/>
      <w:r>
        <w:rPr>
          <w:rFonts w:ascii="Times New Roman" w:hAnsi="Times New Roman" w:cs="Times New Roman"/>
          <w:sz w:val="20"/>
          <w:szCs w:val="20"/>
        </w:rPr>
        <w:t>glgC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since this is measured after 2 </w:t>
      </w:r>
      <w:proofErr w:type="spellStart"/>
      <w:r>
        <w:rPr>
          <w:rFonts w:ascii="Times New Roman" w:hAnsi="Times New Roman" w:cs="Times New Roman"/>
          <w:sz w:val="20"/>
          <w:szCs w:val="20"/>
        </w:rPr>
        <w:t>hrs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the</w:t>
      </w:r>
      <w:r w:rsidR="0036675D">
        <w:rPr>
          <w:rFonts w:ascii="Times New Roman" w:hAnsi="Times New Roman" w:cs="Times New Roman"/>
          <w:sz w:val="20"/>
          <w:szCs w:val="20"/>
        </w:rPr>
        <w:t xml:space="preserve"> volume of each well is 100 </w:t>
      </w:r>
      <w:proofErr w:type="spellStart"/>
      <w:r w:rsidR="0036675D">
        <w:rPr>
          <w:rFonts w:ascii="Times New Roman" w:hAnsi="Times New Roman" w:cs="Times New Roman"/>
          <w:sz w:val="20"/>
          <w:szCs w:val="20"/>
        </w:rPr>
        <w:t>uL</w:t>
      </w:r>
      <w:proofErr w:type="spellEnd"/>
      <w:r w:rsidR="0036675D">
        <w:rPr>
          <w:rFonts w:ascii="Times New Roman" w:hAnsi="Times New Roman" w:cs="Times New Roman"/>
          <w:sz w:val="20"/>
          <w:szCs w:val="20"/>
        </w:rPr>
        <w:t xml:space="preserve"> and MW of glycogen is 666.578 g/</w:t>
      </w:r>
      <w:proofErr w:type="spellStart"/>
      <w:r w:rsidR="0036675D">
        <w:rPr>
          <w:rFonts w:ascii="Times New Roman" w:hAnsi="Times New Roman" w:cs="Times New Roman"/>
          <w:sz w:val="20"/>
          <w:szCs w:val="20"/>
        </w:rPr>
        <w:t>mol</w:t>
      </w:r>
      <w:proofErr w:type="spellEnd"/>
    </w:p>
    <w:tbl>
      <w:tblPr>
        <w:tblStyle w:val="PlainTable1"/>
        <w:tblW w:w="6151" w:type="dxa"/>
        <w:tblLook w:val="04A0" w:firstRow="1" w:lastRow="0" w:firstColumn="1" w:lastColumn="0" w:noHBand="0" w:noVBand="1"/>
      </w:tblPr>
      <w:tblGrid>
        <w:gridCol w:w="1435"/>
        <w:gridCol w:w="1260"/>
        <w:gridCol w:w="1152"/>
        <w:gridCol w:w="1152"/>
        <w:gridCol w:w="1152"/>
      </w:tblGrid>
      <w:tr w:rsidR="008531D0" w:rsidRPr="008531D0" w:rsidTr="008531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8531D0" w:rsidRPr="008531D0" w:rsidRDefault="008531D0" w:rsidP="008531D0">
            <w:pPr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Conc. S, [S]</w:t>
            </w:r>
          </w:p>
        </w:tc>
        <w:tc>
          <w:tcPr>
            <w:tcW w:w="1260" w:type="dxa"/>
            <w:noWrap/>
            <w:hideMark/>
          </w:tcPr>
          <w:p w:rsidR="008531D0" w:rsidRPr="008531D0" w:rsidRDefault="008531D0" w:rsidP="008531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No Glucose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0.057</w:t>
            </w: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0.283</w:t>
            </w: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0.575</w:t>
            </w: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</w:tr>
      <w:tr w:rsidR="008531D0" w:rsidRPr="008531D0" w:rsidTr="00853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8531D0" w:rsidRPr="008531D0" w:rsidRDefault="008531D0" w:rsidP="008531D0">
            <w:pPr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Velocity, Vi</w:t>
            </w:r>
          </w:p>
        </w:tc>
        <w:tc>
          <w:tcPr>
            <w:tcW w:w="1260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1.96E-04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6.49E-04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6.73E-04</w:t>
            </w:r>
          </w:p>
        </w:tc>
      </w:tr>
      <w:tr w:rsidR="008531D0" w:rsidRPr="008531D0" w:rsidTr="008531D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8531D0" w:rsidRPr="008531D0" w:rsidRDefault="008531D0" w:rsidP="008531D0">
            <w:pPr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1/[s]</w:t>
            </w:r>
          </w:p>
        </w:tc>
        <w:tc>
          <w:tcPr>
            <w:tcW w:w="1260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17.54386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3.533569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1.73913</w:t>
            </w:r>
          </w:p>
        </w:tc>
      </w:tr>
      <w:tr w:rsidR="008531D0" w:rsidRPr="008531D0" w:rsidTr="00853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8531D0" w:rsidRPr="008531D0" w:rsidRDefault="008531D0" w:rsidP="008531D0">
            <w:pPr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1/Vi</w:t>
            </w:r>
          </w:p>
        </w:tc>
        <w:tc>
          <w:tcPr>
            <w:tcW w:w="1260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5.10E+03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1.54E+03</w:t>
            </w:r>
          </w:p>
        </w:tc>
        <w:tc>
          <w:tcPr>
            <w:tcW w:w="1152" w:type="dxa"/>
            <w:noWrap/>
            <w:hideMark/>
          </w:tcPr>
          <w:p w:rsidR="008531D0" w:rsidRPr="008531D0" w:rsidRDefault="008531D0" w:rsidP="00853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531D0">
              <w:rPr>
                <w:rFonts w:ascii="Calibri" w:eastAsia="Times New Roman" w:hAnsi="Calibri" w:cs="Times New Roman"/>
                <w:color w:val="000000"/>
              </w:rPr>
              <w:t>1.49E+03</w:t>
            </w:r>
          </w:p>
        </w:tc>
      </w:tr>
    </w:tbl>
    <w:p w:rsidR="005427D6" w:rsidRDefault="005427D6">
      <w:pPr>
        <w:rPr>
          <w:rFonts w:ascii="Times New Roman" w:hAnsi="Times New Roman" w:cs="Times New Roman"/>
          <w:b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sz w:val="20"/>
          <w:szCs w:val="20"/>
        </w:rPr>
        <w:t>Table 5</w:t>
      </w:r>
      <w:r w:rsidRPr="00C25404">
        <w:rPr>
          <w:rFonts w:ascii="Times New Roman" w:hAnsi="Times New Roman" w:cs="Times New Roman"/>
          <w:b/>
          <w:sz w:val="20"/>
          <w:szCs w:val="20"/>
        </w:rPr>
        <w:t xml:space="preserve">. Estimated </w:t>
      </w:r>
      <w:r>
        <w:rPr>
          <w:rFonts w:ascii="Times New Roman" w:hAnsi="Times New Roman" w:cs="Times New Roman"/>
          <w:b/>
          <w:sz w:val="20"/>
          <w:szCs w:val="20"/>
        </w:rPr>
        <w:t xml:space="preserve">enzymatic velocity </w:t>
      </w:r>
      <w:r w:rsidRPr="00C25404">
        <w:rPr>
          <w:rFonts w:ascii="Times New Roman" w:hAnsi="Times New Roman" w:cs="Times New Roman"/>
          <w:b/>
          <w:sz w:val="20"/>
          <w:szCs w:val="20"/>
        </w:rPr>
        <w:t xml:space="preserve">of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glgC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in our system</w:t>
      </w:r>
      <w:r w:rsidRPr="00C2540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6675D">
        <w:rPr>
          <w:rFonts w:ascii="Times New Roman" w:hAnsi="Times New Roman" w:cs="Times New Roman"/>
          <w:b/>
          <w:sz w:val="20"/>
          <w:szCs w:val="20"/>
        </w:rPr>
        <w:t xml:space="preserve">in </w:t>
      </w:r>
      <w:proofErr w:type="spellStart"/>
      <w:r w:rsidR="0036675D">
        <w:rPr>
          <w:rFonts w:ascii="Times New Roman" w:hAnsi="Times New Roman" w:cs="Times New Roman"/>
          <w:b/>
          <w:sz w:val="20"/>
          <w:szCs w:val="20"/>
        </w:rPr>
        <w:t>umol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hr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/</w:t>
      </w:r>
      <w:r w:rsidRPr="005427D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36675D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2.4</w:t>
      </w:r>
      <w:r w:rsidRPr="005427D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x 10</w:t>
      </w:r>
      <w:r w:rsidRPr="005427D6">
        <w:rPr>
          <w:rFonts w:ascii="Times New Roman" w:hAnsi="Times New Roman" w:cs="Times New Roman"/>
          <w:b/>
          <w:color w:val="333333"/>
          <w:sz w:val="20"/>
          <w:szCs w:val="20"/>
          <w:bdr w:val="none" w:sz="0" w:space="0" w:color="auto" w:frame="1"/>
          <w:shd w:val="clear" w:color="auto" w:fill="FFFFFF"/>
          <w:vertAlign w:val="superscript"/>
        </w:rPr>
        <w:t>8</w:t>
      </w:r>
      <w:r>
        <w:rPr>
          <w:rFonts w:ascii="Times New Roman" w:hAnsi="Times New Roman" w:cs="Times New Roman"/>
          <w:b/>
          <w:color w:val="333333"/>
          <w:sz w:val="20"/>
          <w:szCs w:val="20"/>
          <w:bdr w:val="none" w:sz="0" w:space="0" w:color="auto" w:frame="1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 w:cs="Times New Roman"/>
          <w:b/>
          <w:color w:val="333333"/>
          <w:sz w:val="20"/>
          <w:szCs w:val="20"/>
          <w:bdr w:val="none" w:sz="0" w:space="0" w:color="auto" w:frame="1"/>
          <w:shd w:val="clear" w:color="auto" w:fill="FFFFFF"/>
        </w:rPr>
        <w:t>cells.</w:t>
      </w:r>
      <w:r w:rsidR="008531D0">
        <w:rPr>
          <w:rFonts w:ascii="Times New Roman" w:hAnsi="Times New Roman" w:cs="Times New Roman"/>
          <w:b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Substrate concentration is in molar, M. </w:t>
      </w:r>
    </w:p>
    <w:p w:rsidR="00913A93" w:rsidRDefault="00542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we can estimate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Vmax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Km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glgC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using </w:t>
      </w:r>
      <w:proofErr w:type="spellStart"/>
      <w:r w:rsidRPr="005427D6">
        <w:rPr>
          <w:rFonts w:ascii="Times New Roman" w:hAnsi="Times New Roman" w:cs="Times New Roman"/>
          <w:sz w:val="24"/>
          <w:szCs w:val="24"/>
        </w:rPr>
        <w:t>Lineweaver</w:t>
      </w:r>
      <w:proofErr w:type="spellEnd"/>
      <w:r w:rsidRPr="005427D6">
        <w:rPr>
          <w:rFonts w:ascii="Times New Roman" w:hAnsi="Times New Roman" w:cs="Times New Roman"/>
          <w:sz w:val="24"/>
          <w:szCs w:val="24"/>
        </w:rPr>
        <w:t>-Burk plot</w:t>
      </w:r>
      <w:r>
        <w:rPr>
          <w:rFonts w:ascii="Times New Roman" w:hAnsi="Times New Roman" w:cs="Times New Roman"/>
          <w:sz w:val="24"/>
          <w:szCs w:val="24"/>
        </w:rPr>
        <w:t xml:space="preserve"> if we assume the reaction obeys </w:t>
      </w:r>
      <w:proofErr w:type="spellStart"/>
      <w:r w:rsidRPr="005427D6">
        <w:rPr>
          <w:rFonts w:ascii="Times New Roman" w:hAnsi="Times New Roman" w:cs="Times New Roman"/>
          <w:sz w:val="24"/>
          <w:szCs w:val="24"/>
        </w:rPr>
        <w:t>Michaelis-Menten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model. </w:t>
      </w:r>
    </w:p>
    <w:p w:rsidR="006F1936" w:rsidRDefault="008531D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1596DFA" wp14:editId="58078A13">
            <wp:extent cx="4861560" cy="2560320"/>
            <wp:effectExtent l="0" t="0" r="15240" b="1143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531D0" w:rsidRDefault="00853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we have, </w:t>
      </w:r>
    </w:p>
    <w:p w:rsidR="008531D0" w:rsidRDefault="008531D0">
      <w:pPr>
        <w:rPr>
          <w:rFonts w:ascii="Times New Roman" w:hAnsi="Times New Roman" w:cs="Times New Roman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Vmax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=897.4</m:t>
                  </m:r>
                </m: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Km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Vmax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=238.06</m:t>
                  </m:r>
                </m:e>
              </m:eqArr>
              <m:r>
                <w:rPr>
                  <w:rFonts w:ascii="Cambria Math" w:hAnsi="Cambria Math" w:cs="Times New Roman"/>
                  <w:sz w:val="24"/>
                  <w:szCs w:val="24"/>
                </w:rPr>
                <m:t>⇔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Vmax=0.00111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Km=0.265</m:t>
                      </m:r>
                    </m:e>
                  </m:eqArr>
                </m:e>
              </m:d>
            </m:e>
          </m:d>
        </m:oMath>
      </m:oMathPara>
    </w:p>
    <w:p w:rsidR="005427D6" w:rsidRPr="005427D6" w:rsidRDefault="005427D6">
      <w:pPr>
        <w:rPr>
          <w:rFonts w:ascii="Times New Roman" w:hAnsi="Times New Roman" w:cs="Times New Roman"/>
          <w:b/>
          <w:sz w:val="20"/>
          <w:szCs w:val="20"/>
        </w:rPr>
      </w:pPr>
    </w:p>
    <w:p w:rsidR="002B402B" w:rsidRPr="00D91880" w:rsidRDefault="002B402B">
      <w:pPr>
        <w:rPr>
          <w:rFonts w:ascii="Times New Roman" w:hAnsi="Times New Roman" w:cs="Times New Roman"/>
          <w:sz w:val="24"/>
          <w:szCs w:val="24"/>
        </w:rPr>
      </w:pPr>
    </w:p>
    <w:sectPr w:rsidR="002B402B" w:rsidRPr="00D91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E9"/>
    <w:rsid w:val="00201D2F"/>
    <w:rsid w:val="002B402B"/>
    <w:rsid w:val="0036675D"/>
    <w:rsid w:val="0046180A"/>
    <w:rsid w:val="005427D6"/>
    <w:rsid w:val="006F1936"/>
    <w:rsid w:val="008252B7"/>
    <w:rsid w:val="008531D0"/>
    <w:rsid w:val="008841E9"/>
    <w:rsid w:val="00905A02"/>
    <w:rsid w:val="00913A93"/>
    <w:rsid w:val="00971007"/>
    <w:rsid w:val="00C07BDE"/>
    <w:rsid w:val="00C25404"/>
    <w:rsid w:val="00D91880"/>
    <w:rsid w:val="00EB6B41"/>
    <w:rsid w:val="00EF0333"/>
    <w:rsid w:val="00F9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634167-0F22-49EF-A5DC-4019BE88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00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71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9710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C254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531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hyperlink" Target="http://www.sigmaaldrich.com/catalog/product/sigma/mak016?lang=en&amp;region=US" TargetMode="Externa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ssac%20Li\Google%20Drive\glycogen%202nd%20plate%208_2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ssac%20Li\Google%20Drive\glycogen%202nd%20plate%208_29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Glycogen concentration measured by absorbance at 540</a:t>
            </a:r>
            <a:r>
              <a:rPr lang="en-US" baseline="0"/>
              <a:t> nm</a:t>
            </a:r>
            <a:endParaRPr lang="en-US"/>
          </a:p>
        </c:rich>
      </c:tx>
      <c:layout>
        <c:manualLayout>
          <c:xMode val="edge"/>
          <c:yMode val="edge"/>
          <c:x val="0.21967110489952618"/>
          <c:y val="2.688172043010752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K12+glgC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'8_29_GLY2'!$O$19:$T$19</c:f>
              <c:numCache>
                <c:formatCode>0.000</c:formatCode>
                <c:ptCount val="6"/>
                <c:pt idx="0">
                  <c:v>0.98250000000000004</c:v>
                </c:pt>
                <c:pt idx="1">
                  <c:v>2.5339999999999998</c:v>
                </c:pt>
                <c:pt idx="2">
                  <c:v>2.617</c:v>
                </c:pt>
                <c:pt idx="3">
                  <c:v>0.1195</c:v>
                </c:pt>
                <c:pt idx="4">
                  <c:v>0.40200000000000002</c:v>
                </c:pt>
                <c:pt idx="5">
                  <c:v>0.8135</c:v>
                </c:pt>
              </c:numCache>
            </c:numRef>
          </c:val>
        </c:ser>
        <c:ser>
          <c:idx val="1"/>
          <c:order val="1"/>
          <c:tx>
            <c:v>Jump Control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'8_29_GLY2'!$O$20:$T$20</c:f>
              <c:numCache>
                <c:formatCode>0.000</c:formatCode>
                <c:ptCount val="6"/>
                <c:pt idx="0">
                  <c:v>0.28000000000000003</c:v>
                </c:pt>
                <c:pt idx="1">
                  <c:v>0.33250000000000002</c:v>
                </c:pt>
                <c:pt idx="2">
                  <c:v>0.443</c:v>
                </c:pt>
                <c:pt idx="3">
                  <c:v>0.41049999999999998</c:v>
                </c:pt>
                <c:pt idx="4">
                  <c:v>1.427</c:v>
                </c:pt>
                <c:pt idx="5">
                  <c:v>0.187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4218704"/>
        <c:axId val="654215176"/>
      </c:barChart>
      <c:catAx>
        <c:axId val="654218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4215176"/>
        <c:crosses val="autoZero"/>
        <c:auto val="1"/>
        <c:lblAlgn val="ctr"/>
        <c:lblOffset val="100"/>
        <c:noMultiLvlLbl val="0"/>
      </c:catAx>
      <c:valAx>
        <c:axId val="654215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Absobance Unit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421870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baseline="0">
                <a:effectLst/>
              </a:rPr>
              <a:t>Standard Glycogen Curve measured at 540 nm</a:t>
            </a:r>
            <a:endParaRPr lang="en-US" sz="14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samples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2.8008530183727034E-2"/>
                  <c:y val="0.26312664041994749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100" baseline="0"/>
                      <a:t>y = 0.3888x - 0.0034</a:t>
                    </a:r>
                    <a:br>
                      <a:rPr lang="en-US" sz="1100" baseline="0"/>
                    </a:br>
                    <a:r>
                      <a:rPr lang="en-US" sz="1100" baseline="0"/>
                      <a:t>R² = 0.9828</a:t>
                    </a:r>
                    <a:endParaRPr lang="en-US" sz="1100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Sheet1!$B$7:$G$7</c:f>
              <c:numCache>
                <c:formatCode>0.000</c:formatCode>
                <c:ptCount val="6"/>
                <c:pt idx="0">
                  <c:v>0</c:v>
                </c:pt>
                <c:pt idx="1">
                  <c:v>0.11200000000000002</c:v>
                </c:pt>
                <c:pt idx="2">
                  <c:v>0.21099999999999997</c:v>
                </c:pt>
                <c:pt idx="3">
                  <c:v>0.34900000000000003</c:v>
                </c:pt>
                <c:pt idx="4">
                  <c:v>0.4415</c:v>
                </c:pt>
                <c:pt idx="5">
                  <c:v>0.48249999999999998</c:v>
                </c:pt>
              </c:numCache>
            </c:numRef>
          </c:xVal>
          <c:yVal>
            <c:numRef>
              <c:f>Sheet1!$B$2:$G$2</c:f>
              <c:numCache>
                <c:formatCode>General</c:formatCode>
                <c:ptCount val="6"/>
                <c:pt idx="0">
                  <c:v>0</c:v>
                </c:pt>
                <c:pt idx="1">
                  <c:v>0.04</c:v>
                </c:pt>
                <c:pt idx="2">
                  <c:v>0.08</c:v>
                </c:pt>
                <c:pt idx="3">
                  <c:v>0.12</c:v>
                </c:pt>
                <c:pt idx="4">
                  <c:v>0.16</c:v>
                </c:pt>
                <c:pt idx="5">
                  <c:v>0.2</c:v>
                </c:pt>
              </c:numCache>
            </c:numRef>
          </c:y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654213608"/>
        <c:axId val="654214392"/>
      </c:scatterChart>
      <c:valAx>
        <c:axId val="654213608"/>
        <c:scaling>
          <c:orientation val="minMax"/>
          <c:max val="0.5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0" i="0" baseline="0">
                    <a:effectLst/>
                  </a:rPr>
                  <a:t>Absorbance Unit</a:t>
                </a:r>
                <a:endParaRPr lang="en-US" sz="11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4214392"/>
        <c:crosses val="autoZero"/>
        <c:crossBetween val="midCat"/>
        <c:majorUnit val="5.000000000000001E-2"/>
      </c:valAx>
      <c:valAx>
        <c:axId val="654214392"/>
        <c:scaling>
          <c:orientation val="minMax"/>
          <c:max val="0.24000000000000002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0" i="0" baseline="0">
                    <a:effectLst/>
                  </a:rPr>
                  <a:t>Concentration of Glycogen (ug/well)</a:t>
                </a:r>
                <a:endParaRPr lang="en-US" sz="1100">
                  <a:effectLst/>
                </a:endParaRPr>
              </a:p>
            </c:rich>
          </c:tx>
          <c:layout>
            <c:manualLayout>
              <c:xMode val="edge"/>
              <c:yMode val="edge"/>
              <c:x val="3.0555555555555555E-2"/>
              <c:y val="0.1717129629629629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4213608"/>
        <c:crosses val="autoZero"/>
        <c:crossBetween val="midCat"/>
        <c:majorUnit val="4.0000000000000008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8.6680664916885392E-2"/>
          <c:y val="0.18397817460317462"/>
          <c:w val="0.88398600174978126"/>
          <c:h val="0.6860365110611174"/>
        </c:manualLayout>
      </c:layout>
      <c:scatterChart>
        <c:scatterStyle val="lineMarker"/>
        <c:varyColors val="0"/>
        <c:ser>
          <c:idx val="0"/>
          <c:order val="0"/>
          <c:tx>
            <c:v>Lineweaver-Burk plot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"/>
            <c:backward val="8"/>
            <c:dispRSqr val="1"/>
            <c:dispEq val="1"/>
            <c:trendlineLbl>
              <c:layout>
                <c:manualLayout>
                  <c:x val="-7.5174223911666213E-2"/>
                  <c:y val="0.30213293650793649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'8_29_GLY2'!$O$32:$Q$32</c:f>
              <c:numCache>
                <c:formatCode>General</c:formatCode>
                <c:ptCount val="3"/>
                <c:pt idx="0">
                  <c:v>17.543859649122805</c:v>
                </c:pt>
                <c:pt idx="1">
                  <c:v>3.5335689045936398</c:v>
                </c:pt>
                <c:pt idx="2">
                  <c:v>1.7391304347826089</c:v>
                </c:pt>
              </c:numCache>
            </c:numRef>
          </c:xVal>
          <c:yVal>
            <c:numRef>
              <c:f>'8_29_GLY2'!$O$33:$Q$33</c:f>
              <c:numCache>
                <c:formatCode>0.00E+00</c:formatCode>
                <c:ptCount val="3"/>
                <c:pt idx="0">
                  <c:v>5096.2400036697809</c:v>
                </c:pt>
                <c:pt idx="1">
                  <c:v>1541.5430184713753</c:v>
                </c:pt>
                <c:pt idx="2">
                  <c:v>1486.0901296815837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54218312"/>
        <c:axId val="654214784"/>
      </c:scatterChart>
      <c:valAx>
        <c:axId val="654218312"/>
        <c:scaling>
          <c:orientation val="minMax"/>
          <c:max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1/[S]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4214784"/>
        <c:crosses val="autoZero"/>
        <c:crossBetween val="midCat"/>
      </c:valAx>
      <c:valAx>
        <c:axId val="654214784"/>
        <c:scaling>
          <c:orientation val="minMax"/>
          <c:max val="55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1/V</a:t>
                </a:r>
              </a:p>
            </c:rich>
          </c:tx>
          <c:layout>
            <c:manualLayout>
              <c:xMode val="edge"/>
              <c:yMode val="edge"/>
              <c:x val="0.12662215445459635"/>
              <c:y val="0.4312500000000000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E+00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421831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Issac Li</dc:creator>
  <cp:keywords/>
  <dc:description/>
  <cp:lastModifiedBy>Issac Li</cp:lastModifiedBy>
  <cp:revision>1</cp:revision>
  <dcterms:created xsi:type="dcterms:W3CDTF">2015-09-17T01:30:00Z</dcterms:created>
  <dcterms:modified xsi:type="dcterms:W3CDTF">2015-09-18T09:57:00Z</dcterms:modified>
</cp:coreProperties>
</file>